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95 vom 1. Februar 1974</w:t>
      </w:r>
    </w:p>
    <w:p>
      <w:r>
        <w:t>Bundesgericht (BGE), 1974-02-01, FR</w:t>
      </w:r>
    </w:p>
    <w:p>
      <w:r>
        <w:rPr>
          <w:b/>
        </w:rPr>
        <w:t xml:space="preserve">Quelle: </w:t>
      </w:r>
      <w:r>
        <w:t>https://mcp.opencaselaw.ch/entscheid/bge_100 IA 95</w:t>
      </w:r>
    </w:p>
    <w:p>
      <w:r>
        <w:t>FR: BGE 100 IA 95 du 1 février 1974</w:t>
      </w:r>
    </w:p>
    <w:p>
      <w:r>
        <w:t>IT: BGE 100 IA 95 del 1 febbraio 1974</w:t>
      </w:r>
    </w:p>
    <w:p>
      <w:pPr>
        <w:pStyle w:val="Heading2"/>
      </w:pPr>
      <w:r>
        <w:t>Regeste</w:t>
      </w:r>
    </w:p>
    <w:p>
      <w:r>
        <w:t>Regeste Art. 87 OG Eine staatsrechtliche Beschwerde wegen Verletzung des Art. 4 BV, die sich gegen einen erstinstanzlichen kantonalen Entscheid richtet, ist auf alle Fälle unzulässig, wenn es nach dem kantonalen Prozessrecht möglich gewesen wäre, vorher an eine andere kantonale Instanz zu rekurrieren, welche in bezug auf die streitige Frage eine ebenso weite Überprüfungsbefugnis besitzt wie die staatsrechtliche Kammer.</w:t>
      </w:r>
    </w:p>
    <w:p>
      <w:pPr>
        <w:pStyle w:val="Heading2"/>
      </w:pPr>
      <w:r>
        <w:t>Volltext</w:t>
      </w:r>
    </w:p>
    <w:p>
      <w:r>
        <w:t>Urteilskopf 100 Ia 95 15. Arrêt du 1er février 1974 dans la cause Stengele contre Ministère public du canton de Vaud. Regeste Art. 87 OG Eine staatsrechtliche Beschwerde wegen Verletzung des Art. 4 BV , die sich gegen einen erstinstanzlichen kantonalen Entscheid richtet, ist auf alle Fälle unzulässig, wenn es nach dem kantonalen Prozessrecht möglich gewesen wäre, vorher an eine andere kantonale Instanz zu rekurrieren, welche in bezug auf die streitige Frage eine ebenso weite Überprüfungsbefugnis besitzt wie die staatsrechtliche Kammer. Erwägungen ab Seite 96 BGE 100 Ia 95 S. 96 Attendu que le recourant fonde ses conclusions sur l'art. 4 Cst., en critiquant la façon arbitraire avec laquelle les juges de première instance ont apprécié les preuves; Attendu que, sous réserve d'exceptions non réalisées ici, le recours de droit public pour violation de l'art. 4 Cst. est seulement recevable contre les décisions finales prises en der nière instance cantonale (art. 87 OJ); Attendu que l'art. 411 litt. i PP permet l'annulation d'un jugement de première instance lorsque les premiers juges ont outrepassé leur pouvoir d'appréciation ou lorsqu'ils ont interprété les preuves de manière arbitraire (arrêt Vidoudez cité p. 281 litt. i du Code annoté de procédure pénale vaudoise); que dès lors l'autorité cantonale de cassation jouit en cette matière d'un pouvoir d'examen aussi étendu que la Cour de droit public (cf. RO 96 I 443); Attendu en conséquence que le recours de droit public ne serait recevable, in casu, qu'à l'encontre de l'arrêt de la Cour de cassation cantonale; Attendu enfin que le recourant ne saurait non plus saisir la Cour de droit public d'une éventuelle violation du droit pénal fédéral et notamment des art. 63 ss. CP, celle-ci ouvrant la voie tant au recours en réforme de droit cantonal (art. 415 PP) qu'au pourvoi en nullité à la Cour de cassation pénale du Tribunal fédéral (art. 269 al. 1 PPF; art. 84 al. 2 OJ); Dispositiv Par ces motifs, le Tribunal fédéral: 1. Déclare le recours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